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jc w:val="center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ОСОБЕННОСТИ ТРУДОУСТРОЙСТВА НЕСОВЕРШЕННОЛЕТНИХ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sz w:val="28"/>
          <w:szCs w:val="28"/>
        </w:rPr>
        <w:t>Работник до 18 лет может трудиться в свободное от учебы время. Его нельзя принять на работу по </w:t>
      </w:r>
      <w:hyperlink r:id="rId4" w:history="1">
        <w:r w:rsidRPr="001652C7">
          <w:rPr>
            <w:rStyle w:val="a5"/>
            <w:color w:val="auto"/>
            <w:sz w:val="28"/>
            <w:szCs w:val="28"/>
            <w:u w:val="none"/>
          </w:rPr>
          <w:t>совместительству</w:t>
        </w:r>
      </w:hyperlink>
      <w:r w:rsidRPr="001652C7">
        <w:rPr>
          <w:sz w:val="28"/>
          <w:szCs w:val="28"/>
        </w:rPr>
        <w:t>, отправлять в командировки, привлекать к работе с </w:t>
      </w:r>
      <w:hyperlink r:id="rId5" w:history="1">
        <w:r w:rsidRPr="001652C7">
          <w:rPr>
            <w:rStyle w:val="a5"/>
            <w:color w:val="auto"/>
            <w:sz w:val="28"/>
            <w:szCs w:val="28"/>
            <w:u w:val="none"/>
          </w:rPr>
          <w:t>вредными</w:t>
        </w:r>
      </w:hyperlink>
      <w:r w:rsidRPr="001652C7">
        <w:rPr>
          <w:sz w:val="28"/>
          <w:szCs w:val="28"/>
        </w:rPr>
        <w:t> условиями труда, вахтовым методом, сверхурочно, ночью, в выходные и </w:t>
      </w:r>
      <w:hyperlink r:id="rId6" w:history="1">
        <w:r w:rsidRPr="001652C7">
          <w:rPr>
            <w:rStyle w:val="a5"/>
            <w:color w:val="auto"/>
            <w:sz w:val="28"/>
            <w:szCs w:val="28"/>
            <w:u w:val="none"/>
          </w:rPr>
          <w:t>праздники</w:t>
        </w:r>
      </w:hyperlink>
      <w:r w:rsidRPr="001652C7">
        <w:rPr>
          <w:sz w:val="28"/>
          <w:szCs w:val="28"/>
        </w:rPr>
        <w:t>. Допускается работа в выходные и праздники на летних каникулах в студенческих отрядах или по направлению службы занятости (</w:t>
      </w:r>
      <w:hyperlink r:id="rId7" w:history="1">
        <w:r w:rsidRPr="001652C7">
          <w:rPr>
            <w:rStyle w:val="a5"/>
            <w:color w:val="auto"/>
            <w:sz w:val="28"/>
            <w:szCs w:val="28"/>
            <w:u w:val="none"/>
          </w:rPr>
          <w:t>ст. ст. 265</w:t>
        </w:r>
      </w:hyperlink>
      <w:r w:rsidRPr="001652C7">
        <w:rPr>
          <w:sz w:val="28"/>
          <w:szCs w:val="28"/>
        </w:rPr>
        <w:t>, </w:t>
      </w:r>
      <w:hyperlink r:id="rId8" w:history="1">
        <w:r w:rsidRPr="001652C7">
          <w:rPr>
            <w:rStyle w:val="a5"/>
            <w:color w:val="auto"/>
            <w:sz w:val="28"/>
            <w:szCs w:val="28"/>
            <w:u w:val="none"/>
          </w:rPr>
          <w:t>268</w:t>
        </w:r>
      </w:hyperlink>
      <w:r w:rsidRPr="001652C7">
        <w:rPr>
          <w:sz w:val="28"/>
          <w:szCs w:val="28"/>
        </w:rPr>
        <w:t>, </w:t>
      </w:r>
      <w:hyperlink r:id="rId9" w:history="1">
        <w:r w:rsidRPr="001652C7">
          <w:rPr>
            <w:rStyle w:val="a5"/>
            <w:color w:val="auto"/>
            <w:sz w:val="28"/>
            <w:szCs w:val="28"/>
            <w:u w:val="none"/>
          </w:rPr>
          <w:t>282</w:t>
        </w:r>
      </w:hyperlink>
      <w:r w:rsidRPr="001652C7">
        <w:rPr>
          <w:sz w:val="28"/>
          <w:szCs w:val="28"/>
        </w:rPr>
        <w:t>, </w:t>
      </w:r>
      <w:hyperlink r:id="rId10" w:history="1">
        <w:r w:rsidRPr="001652C7">
          <w:rPr>
            <w:rStyle w:val="a5"/>
            <w:color w:val="auto"/>
            <w:sz w:val="28"/>
            <w:szCs w:val="28"/>
            <w:u w:val="none"/>
          </w:rPr>
          <w:t>298</w:t>
        </w:r>
      </w:hyperlink>
      <w:r w:rsidRPr="001652C7">
        <w:rPr>
          <w:sz w:val="28"/>
          <w:szCs w:val="28"/>
        </w:rPr>
        <w:t> ТК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sz w:val="28"/>
          <w:szCs w:val="28"/>
        </w:rPr>
        <w:t>Несовершеннолетнего можно принять на работу с </w:t>
      </w:r>
      <w:hyperlink r:id="rId11" w:history="1">
        <w:r w:rsidRPr="001652C7">
          <w:rPr>
            <w:rStyle w:val="a5"/>
            <w:color w:val="auto"/>
            <w:sz w:val="28"/>
            <w:szCs w:val="28"/>
            <w:u w:val="none"/>
          </w:rPr>
          <w:t>16 лет</w:t>
        </w:r>
      </w:hyperlink>
      <w:r w:rsidRPr="001652C7">
        <w:rPr>
          <w:sz w:val="28"/>
          <w:szCs w:val="28"/>
        </w:rPr>
        <w:t>, при соблюдении определенных условий – с </w:t>
      </w:r>
      <w:hyperlink r:id="rId12" w:history="1">
        <w:r w:rsidRPr="001652C7">
          <w:rPr>
            <w:rStyle w:val="a5"/>
            <w:color w:val="auto"/>
            <w:sz w:val="28"/>
            <w:szCs w:val="28"/>
            <w:u w:val="none"/>
          </w:rPr>
          <w:t>15</w:t>
        </w:r>
      </w:hyperlink>
      <w:r w:rsidRPr="001652C7">
        <w:rPr>
          <w:sz w:val="28"/>
          <w:szCs w:val="28"/>
        </w:rPr>
        <w:t> или с </w:t>
      </w:r>
      <w:hyperlink r:id="rId13" w:history="1">
        <w:r w:rsidRPr="001652C7">
          <w:rPr>
            <w:rStyle w:val="a5"/>
            <w:color w:val="auto"/>
            <w:sz w:val="28"/>
            <w:szCs w:val="28"/>
            <w:u w:val="none"/>
          </w:rPr>
          <w:t>14</w:t>
        </w:r>
      </w:hyperlink>
      <w:r w:rsidRPr="001652C7">
        <w:rPr>
          <w:sz w:val="28"/>
          <w:szCs w:val="28"/>
        </w:rPr>
        <w:t>, а </w:t>
      </w:r>
      <w:hyperlink r:id="rId14" w:history="1">
        <w:r w:rsidRPr="001652C7">
          <w:rPr>
            <w:rStyle w:val="a5"/>
            <w:color w:val="auto"/>
            <w:sz w:val="28"/>
            <w:szCs w:val="28"/>
            <w:u w:val="none"/>
          </w:rPr>
          <w:t>в исключительных случаях</w:t>
        </w:r>
      </w:hyperlink>
      <w:r w:rsidRPr="001652C7">
        <w:rPr>
          <w:sz w:val="28"/>
          <w:szCs w:val="28"/>
        </w:rPr>
        <w:t> и раньше. С любым несовершеннолетним надо заключить </w:t>
      </w:r>
      <w:hyperlink r:id="rId15" w:history="1">
        <w:r w:rsidRPr="001652C7">
          <w:rPr>
            <w:rStyle w:val="a5"/>
            <w:color w:val="auto"/>
            <w:sz w:val="28"/>
            <w:szCs w:val="28"/>
            <w:u w:val="none"/>
          </w:rPr>
          <w:t>трудовой договор</w:t>
        </w:r>
      </w:hyperlink>
      <w:r w:rsidRPr="001652C7">
        <w:rPr>
          <w:sz w:val="28"/>
          <w:szCs w:val="28"/>
        </w:rPr>
        <w:t>, договор от имени подростка до 14 лет подписывает родитель. 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Срочный трудовой договор</w:t>
      </w:r>
      <w:r w:rsidRPr="001652C7">
        <w:rPr>
          <w:sz w:val="28"/>
          <w:szCs w:val="28"/>
        </w:rPr>
        <w:t> с несовершеннолетним можно заключить в тех же </w:t>
      </w:r>
      <w:hyperlink r:id="rId16" w:history="1">
        <w:r w:rsidRPr="001652C7">
          <w:rPr>
            <w:rStyle w:val="a5"/>
            <w:color w:val="auto"/>
            <w:sz w:val="28"/>
            <w:szCs w:val="28"/>
            <w:u w:val="none"/>
          </w:rPr>
          <w:t>случаях</w:t>
        </w:r>
      </w:hyperlink>
      <w:r w:rsidRPr="001652C7">
        <w:rPr>
          <w:sz w:val="28"/>
          <w:szCs w:val="28"/>
        </w:rPr>
        <w:t>, что и с совершеннолетними. В остальных случаях заключайте бессрочный договор.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Рабочее время несовершеннолетних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6"/>
          <w:sz w:val="28"/>
          <w:szCs w:val="28"/>
        </w:rPr>
        <w:t>В 16 – 17 лет</w:t>
      </w:r>
      <w:r w:rsidRPr="001652C7">
        <w:rPr>
          <w:sz w:val="28"/>
          <w:szCs w:val="28"/>
        </w:rPr>
        <w:t> продолжительность рабочего времени не более 35 часов в неделю и 7 часов в день, а в период учебы – не более 17,5 часов в неделю и 4 часов в день (</w:t>
      </w:r>
      <w:hyperlink r:id="rId17" w:history="1">
        <w:r w:rsidRPr="001652C7">
          <w:rPr>
            <w:rStyle w:val="a5"/>
            <w:color w:val="auto"/>
            <w:sz w:val="28"/>
            <w:szCs w:val="28"/>
            <w:u w:val="none"/>
          </w:rPr>
          <w:t>Руководство</w:t>
        </w:r>
      </w:hyperlink>
      <w:r w:rsidRPr="001652C7">
        <w:rPr>
          <w:sz w:val="28"/>
          <w:szCs w:val="28"/>
        </w:rPr>
        <w:t> </w:t>
      </w:r>
      <w:proofErr w:type="spellStart"/>
      <w:r w:rsidRPr="001652C7">
        <w:rPr>
          <w:sz w:val="28"/>
          <w:szCs w:val="28"/>
        </w:rPr>
        <w:t>Роструда</w:t>
      </w:r>
      <w:proofErr w:type="spellEnd"/>
      <w:r w:rsidRPr="001652C7">
        <w:rPr>
          <w:sz w:val="28"/>
          <w:szCs w:val="28"/>
        </w:rPr>
        <w:t>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6"/>
          <w:sz w:val="28"/>
          <w:szCs w:val="28"/>
        </w:rPr>
        <w:t>В 14 – 15 лет</w:t>
      </w:r>
      <w:r w:rsidRPr="001652C7">
        <w:rPr>
          <w:sz w:val="28"/>
          <w:szCs w:val="28"/>
        </w:rPr>
        <w:t> продолжительность рабочего времени не более 24 часов в неделю и 4 часов в день для 14-летних и 5 часов в день для 15-летних. В период учебы – не более 12 часов в неделю и 2,5 часов в день (</w:t>
      </w:r>
      <w:hyperlink r:id="rId18" w:history="1">
        <w:r w:rsidRPr="001652C7">
          <w:rPr>
            <w:rStyle w:val="a5"/>
            <w:color w:val="auto"/>
            <w:sz w:val="28"/>
            <w:szCs w:val="28"/>
            <w:u w:val="none"/>
          </w:rPr>
          <w:t>Руководство</w:t>
        </w:r>
      </w:hyperlink>
      <w:r w:rsidRPr="001652C7">
        <w:rPr>
          <w:sz w:val="28"/>
          <w:szCs w:val="28"/>
        </w:rPr>
        <w:t> </w:t>
      </w:r>
      <w:proofErr w:type="spellStart"/>
      <w:r w:rsidRPr="001652C7">
        <w:rPr>
          <w:sz w:val="28"/>
          <w:szCs w:val="28"/>
        </w:rPr>
        <w:t>Роструда</w:t>
      </w:r>
      <w:proofErr w:type="spellEnd"/>
      <w:r w:rsidRPr="001652C7">
        <w:rPr>
          <w:sz w:val="28"/>
          <w:szCs w:val="28"/>
        </w:rPr>
        <w:t>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При приеме на работу</w:t>
      </w:r>
      <w:r w:rsidRPr="001652C7">
        <w:rPr>
          <w:sz w:val="28"/>
          <w:szCs w:val="28"/>
        </w:rPr>
        <w:t> несовершеннолетние предъявляют паспорт и СНИЛС, а ранее работавшие еще </w:t>
      </w:r>
      <w:hyperlink r:id="rId19" w:history="1">
        <w:r w:rsidRPr="001652C7">
          <w:rPr>
            <w:rStyle w:val="a5"/>
            <w:color w:val="auto"/>
            <w:sz w:val="28"/>
            <w:szCs w:val="28"/>
            <w:u w:val="none"/>
          </w:rPr>
          <w:t>СТД-Р</w:t>
        </w:r>
      </w:hyperlink>
      <w:r w:rsidRPr="001652C7">
        <w:rPr>
          <w:rStyle w:val="a6"/>
          <w:sz w:val="28"/>
          <w:szCs w:val="28"/>
        </w:rPr>
        <w:t>.</w:t>
      </w:r>
      <w:r w:rsidRPr="001652C7">
        <w:rPr>
          <w:sz w:val="28"/>
          <w:szCs w:val="28"/>
        </w:rPr>
        <w:t> С 14 до 15 лет понадобится согласие одного из родителей. В </w:t>
      </w:r>
      <w:hyperlink r:id="rId20" w:history="1">
        <w:r w:rsidRPr="001652C7">
          <w:rPr>
            <w:rStyle w:val="a5"/>
            <w:color w:val="auto"/>
            <w:sz w:val="28"/>
            <w:szCs w:val="28"/>
            <w:u w:val="none"/>
          </w:rPr>
          <w:t>трудовом договоре</w:t>
        </w:r>
      </w:hyperlink>
      <w:r w:rsidRPr="001652C7">
        <w:rPr>
          <w:sz w:val="28"/>
          <w:szCs w:val="28"/>
        </w:rPr>
        <w:t> нельзя установить </w:t>
      </w:r>
      <w:hyperlink r:id="rId21" w:history="1">
        <w:r w:rsidRPr="001652C7">
          <w:rPr>
            <w:rStyle w:val="a5"/>
            <w:color w:val="auto"/>
            <w:sz w:val="28"/>
            <w:szCs w:val="28"/>
            <w:u w:val="none"/>
          </w:rPr>
          <w:t>испытательный срок</w:t>
        </w:r>
      </w:hyperlink>
      <w:r w:rsidRPr="001652C7">
        <w:rPr>
          <w:sz w:val="28"/>
          <w:szCs w:val="28"/>
        </w:rPr>
        <w:t> (</w:t>
      </w:r>
      <w:hyperlink r:id="rId22" w:history="1">
        <w:r w:rsidRPr="001652C7">
          <w:rPr>
            <w:rStyle w:val="a5"/>
            <w:color w:val="auto"/>
            <w:sz w:val="28"/>
            <w:szCs w:val="28"/>
            <w:u w:val="none"/>
          </w:rPr>
          <w:t>ст. ст. 63</w:t>
        </w:r>
      </w:hyperlink>
      <w:r w:rsidRPr="001652C7">
        <w:rPr>
          <w:sz w:val="28"/>
          <w:szCs w:val="28"/>
        </w:rPr>
        <w:t>, </w:t>
      </w:r>
      <w:hyperlink r:id="rId23" w:history="1">
        <w:r w:rsidRPr="001652C7">
          <w:rPr>
            <w:rStyle w:val="a5"/>
            <w:color w:val="auto"/>
            <w:sz w:val="28"/>
            <w:szCs w:val="28"/>
            <w:u w:val="none"/>
          </w:rPr>
          <w:t>70</w:t>
        </w:r>
      </w:hyperlink>
      <w:r w:rsidRPr="001652C7">
        <w:rPr>
          <w:sz w:val="28"/>
          <w:szCs w:val="28"/>
        </w:rPr>
        <w:t> ТК РФ).</w:t>
      </w:r>
      <w:bookmarkStart w:id="0" w:name="P11"/>
      <w:bookmarkEnd w:id="0"/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Зар</w:t>
      </w:r>
      <w:r w:rsidR="001652C7">
        <w:rPr>
          <w:rStyle w:val="a4"/>
          <w:sz w:val="28"/>
          <w:szCs w:val="28"/>
        </w:rPr>
        <w:t xml:space="preserve">аботную </w:t>
      </w:r>
      <w:r w:rsidRPr="001652C7">
        <w:rPr>
          <w:rStyle w:val="a4"/>
          <w:sz w:val="28"/>
          <w:szCs w:val="28"/>
        </w:rPr>
        <w:t>плату</w:t>
      </w:r>
      <w:r w:rsidRPr="001652C7">
        <w:rPr>
          <w:sz w:val="28"/>
          <w:szCs w:val="28"/>
        </w:rPr>
        <w:t> несовершеннолетнему считают как обычно – исходя из </w:t>
      </w:r>
      <w:hyperlink r:id="rId24" w:history="1">
        <w:r w:rsidRPr="001652C7">
          <w:rPr>
            <w:rStyle w:val="a5"/>
            <w:color w:val="auto"/>
            <w:sz w:val="28"/>
            <w:szCs w:val="28"/>
            <w:u w:val="none"/>
          </w:rPr>
          <w:t>отработанного времени и оклада</w:t>
        </w:r>
      </w:hyperlink>
      <w:r w:rsidRPr="001652C7">
        <w:rPr>
          <w:sz w:val="28"/>
          <w:szCs w:val="28"/>
        </w:rPr>
        <w:t> или по </w:t>
      </w:r>
      <w:hyperlink r:id="rId25" w:history="1">
        <w:r w:rsidRPr="001652C7">
          <w:rPr>
            <w:rStyle w:val="a5"/>
            <w:color w:val="auto"/>
            <w:sz w:val="28"/>
            <w:szCs w:val="28"/>
            <w:u w:val="none"/>
          </w:rPr>
          <w:t>сдельным расценкам</w:t>
        </w:r>
      </w:hyperlink>
      <w:r w:rsidRPr="001652C7">
        <w:rPr>
          <w:sz w:val="28"/>
          <w:szCs w:val="28"/>
        </w:rPr>
        <w:t>. НДФЛ считают и удерживают </w:t>
      </w:r>
      <w:hyperlink r:id="rId26" w:history="1">
        <w:r w:rsidRPr="001652C7">
          <w:rPr>
            <w:rStyle w:val="a5"/>
            <w:color w:val="auto"/>
            <w:sz w:val="28"/>
            <w:szCs w:val="28"/>
            <w:u w:val="none"/>
          </w:rPr>
          <w:t>по общим правилам</w:t>
        </w:r>
      </w:hyperlink>
      <w:r w:rsidRPr="001652C7">
        <w:rPr>
          <w:sz w:val="28"/>
          <w:szCs w:val="28"/>
        </w:rPr>
        <w:t> (</w:t>
      </w:r>
      <w:hyperlink r:id="rId27" w:history="1">
        <w:r w:rsidRPr="001652C7">
          <w:rPr>
            <w:rStyle w:val="a5"/>
            <w:color w:val="auto"/>
            <w:sz w:val="28"/>
            <w:szCs w:val="28"/>
            <w:u w:val="none"/>
          </w:rPr>
          <w:t>ст. 271</w:t>
        </w:r>
      </w:hyperlink>
      <w:r w:rsidRPr="001652C7">
        <w:rPr>
          <w:sz w:val="28"/>
          <w:szCs w:val="28"/>
        </w:rPr>
        <w:t> ТК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Отпуск</w:t>
      </w:r>
      <w:r w:rsidRPr="001652C7">
        <w:rPr>
          <w:sz w:val="28"/>
          <w:szCs w:val="28"/>
        </w:rPr>
        <w:t> для несовершеннолетних – </w:t>
      </w:r>
      <w:hyperlink r:id="rId28" w:history="1">
        <w:r w:rsidRPr="001652C7">
          <w:rPr>
            <w:rStyle w:val="a5"/>
            <w:color w:val="auto"/>
            <w:sz w:val="28"/>
            <w:szCs w:val="28"/>
            <w:u w:val="none"/>
          </w:rPr>
          <w:t>31</w:t>
        </w:r>
      </w:hyperlink>
      <w:r w:rsidRPr="001652C7">
        <w:rPr>
          <w:sz w:val="28"/>
          <w:szCs w:val="28"/>
        </w:rPr>
        <w:t> календарный день, его нельзя заменить компенсацией и перенести на следующий год. Предоставляют его в удобное для подростка время, в том числе и до истечения 6 месяцев работы. Несовершеннолетнего нельзя отозвать из отпуска (</w:t>
      </w:r>
      <w:hyperlink r:id="rId29" w:history="1">
        <w:r w:rsidRPr="001652C7">
          <w:rPr>
            <w:rStyle w:val="a5"/>
            <w:color w:val="auto"/>
            <w:sz w:val="28"/>
            <w:szCs w:val="28"/>
            <w:u w:val="none"/>
          </w:rPr>
          <w:t>ст. 12</w:t>
        </w:r>
      </w:hyperlink>
      <w:r w:rsidR="008D6E75">
        <w:rPr>
          <w:sz w:val="28"/>
          <w:szCs w:val="28"/>
        </w:rPr>
        <w:t>6</w:t>
      </w:r>
      <w:r w:rsidRPr="001652C7">
        <w:rPr>
          <w:sz w:val="28"/>
          <w:szCs w:val="28"/>
        </w:rPr>
        <w:t> ТК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30" w:history="1">
        <w:r w:rsidRPr="001652C7">
          <w:rPr>
            <w:rStyle w:val="a4"/>
            <w:sz w:val="28"/>
            <w:szCs w:val="28"/>
          </w:rPr>
          <w:t>Материальную ответственность</w:t>
        </w:r>
      </w:hyperlink>
      <w:r w:rsidRPr="001652C7">
        <w:rPr>
          <w:sz w:val="28"/>
          <w:szCs w:val="28"/>
        </w:rPr>
        <w:t> за причиненный им ущерб несовершеннолетний несет </w:t>
      </w:r>
      <w:hyperlink r:id="rId31" w:history="1">
        <w:r w:rsidRPr="001652C7">
          <w:rPr>
            <w:rStyle w:val="a5"/>
            <w:color w:val="auto"/>
            <w:sz w:val="28"/>
            <w:szCs w:val="28"/>
            <w:u w:val="none"/>
          </w:rPr>
          <w:t>в пределах своего среднего месячного заработка</w:t>
        </w:r>
      </w:hyperlink>
      <w:r w:rsidRPr="001652C7">
        <w:rPr>
          <w:sz w:val="28"/>
          <w:szCs w:val="28"/>
        </w:rPr>
        <w:t>. Договор о полной материальной ответственности с ним заключить нельзя. Полная материальная ответственность возможна за ущерб, причиненный умышленно, либо в состоянии опьянения, либо в результате преступления или административного правонарушения (</w:t>
      </w:r>
      <w:hyperlink r:id="rId32" w:history="1">
        <w:r w:rsidRPr="001652C7">
          <w:rPr>
            <w:rStyle w:val="a5"/>
            <w:color w:val="auto"/>
            <w:sz w:val="28"/>
            <w:szCs w:val="28"/>
            <w:u w:val="none"/>
          </w:rPr>
          <w:t>ст. ст. 241</w:t>
        </w:r>
      </w:hyperlink>
      <w:r w:rsidRPr="001652C7">
        <w:rPr>
          <w:sz w:val="28"/>
          <w:szCs w:val="28"/>
        </w:rPr>
        <w:t>, </w:t>
      </w:r>
      <w:hyperlink r:id="rId33" w:history="1">
        <w:r w:rsidRPr="001652C7">
          <w:rPr>
            <w:rStyle w:val="a5"/>
            <w:color w:val="auto"/>
            <w:sz w:val="28"/>
            <w:szCs w:val="28"/>
            <w:u w:val="none"/>
          </w:rPr>
          <w:t>242</w:t>
        </w:r>
      </w:hyperlink>
      <w:r w:rsidRPr="001652C7">
        <w:rPr>
          <w:sz w:val="28"/>
          <w:szCs w:val="28"/>
        </w:rPr>
        <w:t>, </w:t>
      </w:r>
      <w:hyperlink r:id="rId34" w:history="1">
        <w:r w:rsidRPr="001652C7">
          <w:rPr>
            <w:rStyle w:val="a5"/>
            <w:color w:val="auto"/>
            <w:sz w:val="28"/>
            <w:szCs w:val="28"/>
            <w:u w:val="none"/>
          </w:rPr>
          <w:t>244</w:t>
        </w:r>
      </w:hyperlink>
      <w:r w:rsidRPr="001652C7">
        <w:rPr>
          <w:sz w:val="28"/>
          <w:szCs w:val="28"/>
        </w:rPr>
        <w:t> ТК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sz w:val="28"/>
          <w:szCs w:val="28"/>
        </w:rPr>
        <w:t>При </w:t>
      </w:r>
      <w:r w:rsidRPr="001652C7">
        <w:rPr>
          <w:rStyle w:val="a4"/>
          <w:sz w:val="28"/>
          <w:szCs w:val="28"/>
        </w:rPr>
        <w:t>увольнении</w:t>
      </w:r>
      <w:r w:rsidRPr="001652C7">
        <w:rPr>
          <w:sz w:val="28"/>
          <w:szCs w:val="28"/>
        </w:rPr>
        <w:t> несовершеннолетнего по собственному желанию или по соглашению сторон особенностей нет. Для увольнения по </w:t>
      </w:r>
      <w:hyperlink r:id="rId35" w:history="1">
        <w:r w:rsidRPr="001652C7">
          <w:rPr>
            <w:rStyle w:val="a5"/>
            <w:color w:val="auto"/>
            <w:sz w:val="28"/>
            <w:szCs w:val="28"/>
            <w:u w:val="none"/>
          </w:rPr>
          <w:t>инициативе работодателя</w:t>
        </w:r>
      </w:hyperlink>
      <w:r w:rsidRPr="001652C7">
        <w:rPr>
          <w:sz w:val="28"/>
          <w:szCs w:val="28"/>
        </w:rPr>
        <w:t xml:space="preserve">, за исключением ликвидации, надо получить согласие </w:t>
      </w:r>
      <w:proofErr w:type="spellStart"/>
      <w:r w:rsidRPr="001652C7">
        <w:rPr>
          <w:sz w:val="28"/>
          <w:szCs w:val="28"/>
        </w:rPr>
        <w:t>трудинспекции</w:t>
      </w:r>
      <w:proofErr w:type="spellEnd"/>
      <w:r w:rsidRPr="001652C7">
        <w:rPr>
          <w:sz w:val="28"/>
          <w:szCs w:val="28"/>
        </w:rPr>
        <w:t xml:space="preserve"> и </w:t>
      </w:r>
      <w:hyperlink r:id="rId36" w:history="1">
        <w:r w:rsidRPr="001652C7">
          <w:rPr>
            <w:rStyle w:val="a5"/>
            <w:color w:val="auto"/>
            <w:sz w:val="28"/>
            <w:szCs w:val="28"/>
            <w:u w:val="none"/>
          </w:rPr>
          <w:t>комиссии</w:t>
        </w:r>
      </w:hyperlink>
      <w:r w:rsidRPr="001652C7">
        <w:rPr>
          <w:sz w:val="28"/>
          <w:szCs w:val="28"/>
        </w:rPr>
        <w:t> по делам несовершеннолетних и защите их прав (</w:t>
      </w:r>
      <w:hyperlink r:id="rId37" w:history="1">
        <w:r w:rsidRPr="001652C7">
          <w:rPr>
            <w:rStyle w:val="a5"/>
            <w:color w:val="auto"/>
            <w:sz w:val="28"/>
            <w:szCs w:val="28"/>
            <w:u w:val="none"/>
          </w:rPr>
          <w:t>ст. 269</w:t>
        </w:r>
      </w:hyperlink>
      <w:r w:rsidRPr="001652C7">
        <w:rPr>
          <w:sz w:val="28"/>
          <w:szCs w:val="28"/>
        </w:rPr>
        <w:t> ТК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lastRenderedPageBreak/>
        <w:t>Гражданско-правовой договор</w:t>
      </w:r>
      <w:r w:rsidRPr="001652C7">
        <w:rPr>
          <w:sz w:val="28"/>
          <w:szCs w:val="28"/>
        </w:rPr>
        <w:t> подряда или оказания услуг с несовершеннолетним заключают с согласия обоих родителей (</w:t>
      </w:r>
      <w:hyperlink r:id="rId38" w:history="1">
        <w:r w:rsidRPr="001652C7">
          <w:rPr>
            <w:rStyle w:val="a5"/>
            <w:color w:val="auto"/>
            <w:sz w:val="28"/>
            <w:szCs w:val="28"/>
            <w:u w:val="none"/>
          </w:rPr>
          <w:t>ст. 26</w:t>
        </w:r>
      </w:hyperlink>
      <w:r w:rsidRPr="001652C7">
        <w:rPr>
          <w:sz w:val="28"/>
          <w:szCs w:val="28"/>
        </w:rPr>
        <w:t> ГК РФ).</w:t>
      </w:r>
    </w:p>
    <w:p w:rsidR="00D8086B" w:rsidRPr="001652C7" w:rsidRDefault="00D8086B" w:rsidP="001652C7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52C7">
        <w:rPr>
          <w:rStyle w:val="a4"/>
          <w:sz w:val="28"/>
          <w:szCs w:val="28"/>
        </w:rPr>
        <w:t>Согласие на обработку персональных данных</w:t>
      </w:r>
      <w:r w:rsidRPr="001652C7">
        <w:rPr>
          <w:sz w:val="28"/>
          <w:szCs w:val="28"/>
        </w:rPr>
        <w:t> несовершеннолетнего </w:t>
      </w:r>
      <w:hyperlink r:id="rId39" w:history="1">
        <w:r w:rsidRPr="001652C7">
          <w:rPr>
            <w:rStyle w:val="a5"/>
            <w:color w:val="auto"/>
            <w:sz w:val="28"/>
            <w:szCs w:val="28"/>
            <w:u w:val="none"/>
          </w:rPr>
          <w:t>получают</w:t>
        </w:r>
      </w:hyperlink>
      <w:r w:rsidRPr="001652C7">
        <w:rPr>
          <w:sz w:val="28"/>
          <w:szCs w:val="28"/>
        </w:rPr>
        <w:t> у одного из его родителей (</w:t>
      </w:r>
      <w:hyperlink r:id="rId40" w:history="1">
        <w:r w:rsidRPr="001652C7">
          <w:rPr>
            <w:rStyle w:val="a5"/>
            <w:color w:val="auto"/>
            <w:sz w:val="28"/>
            <w:szCs w:val="28"/>
            <w:u w:val="none"/>
          </w:rPr>
          <w:t>Письмо</w:t>
        </w:r>
      </w:hyperlink>
      <w:r w:rsidRPr="001652C7">
        <w:rPr>
          <w:sz w:val="28"/>
          <w:szCs w:val="28"/>
        </w:rPr>
        <w:t> </w:t>
      </w:r>
      <w:proofErr w:type="spellStart"/>
      <w:r w:rsidRPr="001652C7">
        <w:rPr>
          <w:sz w:val="28"/>
          <w:szCs w:val="28"/>
        </w:rPr>
        <w:t>Минкомсвязи</w:t>
      </w:r>
      <w:proofErr w:type="spellEnd"/>
      <w:r w:rsidRPr="001652C7">
        <w:rPr>
          <w:sz w:val="28"/>
          <w:szCs w:val="28"/>
        </w:rPr>
        <w:t xml:space="preserve"> от 28.08.2020 № ЛБ-С-074-24059).</w:t>
      </w:r>
      <w:bookmarkStart w:id="1" w:name="_GoBack"/>
      <w:bookmarkEnd w:id="1"/>
    </w:p>
    <w:sectPr w:rsidR="00D8086B" w:rsidRPr="0016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C1"/>
    <w:rsid w:val="001652C7"/>
    <w:rsid w:val="002C63C1"/>
    <w:rsid w:val="008D6E75"/>
    <w:rsid w:val="009D3EDE"/>
    <w:rsid w:val="00D8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0C61E-2450-4FB4-8E50-08C9F62C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86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86B"/>
    <w:rPr>
      <w:b/>
      <w:bCs/>
    </w:rPr>
  </w:style>
  <w:style w:type="character" w:styleId="a5">
    <w:name w:val="Hyperlink"/>
    <w:basedOn w:val="a0"/>
    <w:uiPriority w:val="99"/>
    <w:semiHidden/>
    <w:unhideWhenUsed/>
    <w:rsid w:val="00D8086B"/>
    <w:rPr>
      <w:color w:val="0000FF"/>
      <w:u w:val="single"/>
    </w:rPr>
  </w:style>
  <w:style w:type="character" w:styleId="a6">
    <w:name w:val="Emphasis"/>
    <w:basedOn w:val="a0"/>
    <w:uiPriority w:val="20"/>
    <w:qFormat/>
    <w:rsid w:val="00D808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3247" TargetMode="External"/><Relationship Id="rId13" Type="http://schemas.openxmlformats.org/officeDocument/2006/relationships/hyperlink" Target="https://login.consultant.ru/link/?req=doc&amp;base=LAW&amp;n=519026&amp;dst=3095" TargetMode="External"/><Relationship Id="rId18" Type="http://schemas.openxmlformats.org/officeDocument/2006/relationships/hyperlink" Target="https://login.consultant.ru/link/?req=doc&amp;base=LAW&amp;n=440271&amp;dst=100990" TargetMode="External"/><Relationship Id="rId26" Type="http://schemas.openxmlformats.org/officeDocument/2006/relationships/hyperlink" Target="https://login.consultant.ru/link/?req=doc&amp;base=PBI&amp;n=165111&amp;dst=100042" TargetMode="External"/><Relationship Id="rId39" Type="http://schemas.openxmlformats.org/officeDocument/2006/relationships/hyperlink" Target="https://login.consultant.ru/link/?req=doc&amp;base=PBI&amp;n=280124&amp;dst=1000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PBI&amp;n=275508" TargetMode="External"/><Relationship Id="rId34" Type="http://schemas.openxmlformats.org/officeDocument/2006/relationships/hyperlink" Target="https://login.consultant.ru/link/?req=doc&amp;base=LAW&amp;n=519026&amp;dst=1045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9026&amp;dst=1853" TargetMode="External"/><Relationship Id="rId12" Type="http://schemas.openxmlformats.org/officeDocument/2006/relationships/hyperlink" Target="https://login.consultant.ru/link/?req=doc&amp;base=LAW&amp;n=519026&amp;dst=2288" TargetMode="External"/><Relationship Id="rId17" Type="http://schemas.openxmlformats.org/officeDocument/2006/relationships/hyperlink" Target="https://login.consultant.ru/link/?req=doc&amp;base=LAW&amp;n=440271&amp;dst=100990" TargetMode="External"/><Relationship Id="rId25" Type="http://schemas.openxmlformats.org/officeDocument/2006/relationships/hyperlink" Target="https://login.consultant.ru/link/?req=doc&amp;base=PBI&amp;n=336399&amp;dst=100017" TargetMode="External"/><Relationship Id="rId33" Type="http://schemas.openxmlformats.org/officeDocument/2006/relationships/hyperlink" Target="https://login.consultant.ru/link/?req=doc&amp;base=LAW&amp;n=519026&amp;dst=2299" TargetMode="External"/><Relationship Id="rId38" Type="http://schemas.openxmlformats.org/officeDocument/2006/relationships/hyperlink" Target="https://login.consultant.ru/link/?req=doc&amp;base=LAW&amp;n=508490&amp;dst=1001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PBI&amp;n=215833&amp;dst=100034" TargetMode="External"/><Relationship Id="rId20" Type="http://schemas.openxmlformats.org/officeDocument/2006/relationships/hyperlink" Target="https://login.consultant.ru/link/?req=doc&amp;base=PBI&amp;n=322198" TargetMode="External"/><Relationship Id="rId29" Type="http://schemas.openxmlformats.org/officeDocument/2006/relationships/hyperlink" Target="https://login.consultant.ru/link/?req=doc&amp;base=LAW&amp;n=519026&amp;dst=10083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PBI&amp;n=260674" TargetMode="External"/><Relationship Id="rId11" Type="http://schemas.openxmlformats.org/officeDocument/2006/relationships/hyperlink" Target="https://login.consultant.ru/link/?req=doc&amp;base=LAW&amp;n=519026&amp;dst=2052" TargetMode="External"/><Relationship Id="rId24" Type="http://schemas.openxmlformats.org/officeDocument/2006/relationships/hyperlink" Target="https://login.consultant.ru/link/?req=doc&amp;base=PBI&amp;n=336399&amp;dst=100003" TargetMode="External"/><Relationship Id="rId32" Type="http://schemas.openxmlformats.org/officeDocument/2006/relationships/hyperlink" Target="https://login.consultant.ru/link/?req=doc&amp;base=LAW&amp;n=519026&amp;dst=101549" TargetMode="External"/><Relationship Id="rId37" Type="http://schemas.openxmlformats.org/officeDocument/2006/relationships/hyperlink" Target="https://login.consultant.ru/link/?req=doc&amp;base=LAW&amp;n=519026&amp;dst=1077" TargetMode="External"/><Relationship Id="rId40" Type="http://schemas.openxmlformats.org/officeDocument/2006/relationships/hyperlink" Target="https://login.consultant.ru/link/?req=doc&amp;base=LAW&amp;n=361840&amp;dst=100111" TargetMode="External"/><Relationship Id="rId5" Type="http://schemas.openxmlformats.org/officeDocument/2006/relationships/hyperlink" Target="https://login.consultant.ru/link/?req=doc&amp;base=LAW&amp;n=115476&amp;dst=100008" TargetMode="External"/><Relationship Id="rId15" Type="http://schemas.openxmlformats.org/officeDocument/2006/relationships/hyperlink" Target="https://login.consultant.ru/link/?req=doc&amp;base=PBI&amp;n=322198" TargetMode="External"/><Relationship Id="rId23" Type="http://schemas.openxmlformats.org/officeDocument/2006/relationships/hyperlink" Target="https://login.consultant.ru/link/?req=doc&amp;base=LAW&amp;n=519026&amp;dst=430" TargetMode="External"/><Relationship Id="rId28" Type="http://schemas.openxmlformats.org/officeDocument/2006/relationships/hyperlink" Target="https://login.consultant.ru/link/?req=doc&amp;base=LAW&amp;n=519026&amp;dst=101655" TargetMode="External"/><Relationship Id="rId36" Type="http://schemas.openxmlformats.org/officeDocument/2006/relationships/hyperlink" Target="https://login.consultant.ru/link/?req=doc&amp;base=LAW&amp;n=510627&amp;dst=214" TargetMode="External"/><Relationship Id="rId10" Type="http://schemas.openxmlformats.org/officeDocument/2006/relationships/hyperlink" Target="https://login.consultant.ru/link/?req=doc&amp;base=LAW&amp;n=519026&amp;dst=101752" TargetMode="External"/><Relationship Id="rId19" Type="http://schemas.openxmlformats.org/officeDocument/2006/relationships/hyperlink" Target="https://login.consultant.ru/link/?req=doc&amp;base=PBI&amp;n=199807&amp;dst=100035" TargetMode="External"/><Relationship Id="rId31" Type="http://schemas.openxmlformats.org/officeDocument/2006/relationships/hyperlink" Target="https://login.consultant.ru/link/?req=doc&amp;base=PBI&amp;n=149164&amp;dst=100002" TargetMode="External"/><Relationship Id="rId4" Type="http://schemas.openxmlformats.org/officeDocument/2006/relationships/hyperlink" Target="https://login.consultant.ru/link/?req=doc&amp;base=PBI&amp;n=322668&amp;dst=100004" TargetMode="External"/><Relationship Id="rId9" Type="http://schemas.openxmlformats.org/officeDocument/2006/relationships/hyperlink" Target="https://login.consultant.ru/link/?req=doc&amp;base=LAW&amp;n=519026&amp;dst=102596" TargetMode="External"/><Relationship Id="rId14" Type="http://schemas.openxmlformats.org/officeDocument/2006/relationships/hyperlink" Target="https://login.consultant.ru/link/?req=doc&amp;base=LAW&amp;n=158272&amp;dst=100025" TargetMode="External"/><Relationship Id="rId22" Type="http://schemas.openxmlformats.org/officeDocument/2006/relationships/hyperlink" Target="https://login.consultant.ru/link/?req=doc&amp;base=LAW&amp;n=519026&amp;dst=2289" TargetMode="External"/><Relationship Id="rId27" Type="http://schemas.openxmlformats.org/officeDocument/2006/relationships/hyperlink" Target="https://login.consultant.ru/link/?req=doc&amp;base=LAW&amp;n=519026&amp;dst=101664" TargetMode="External"/><Relationship Id="rId30" Type="http://schemas.openxmlformats.org/officeDocument/2006/relationships/hyperlink" Target="https://login.consultant.ru/link/?req=doc&amp;base=PBI&amp;n=252587" TargetMode="External"/><Relationship Id="rId35" Type="http://schemas.openxmlformats.org/officeDocument/2006/relationships/hyperlink" Target="https://login.consultant.ru/link/?req=doc&amp;base=PBI&amp;n=31624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2026-05-05T07:12:00Z</dcterms:created>
  <dcterms:modified xsi:type="dcterms:W3CDTF">2026-05-05T07:42:00Z</dcterms:modified>
</cp:coreProperties>
</file>